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813B" w14:textId="77777777" w:rsidR="00527363" w:rsidRDefault="00527363">
      <w:pPr>
        <w:pStyle w:val="FreeForm"/>
        <w:keepNext/>
        <w:keepLines/>
        <w:spacing w:before="240" w:line="360" w:lineRule="auto"/>
        <w:outlineLvl w:val="0"/>
        <w:rPr>
          <w:rFonts w:ascii="Calibri" w:eastAsia="Calibri" w:hAnsi="Calibri" w:cs="Calibri"/>
          <w:color w:val="FF7E79"/>
          <w:sz w:val="26"/>
          <w:szCs w:val="26"/>
          <w:u w:color="2F5496"/>
        </w:rPr>
      </w:pPr>
    </w:p>
    <w:p w14:paraId="2E2C929F" w14:textId="77777777" w:rsidR="00527363" w:rsidRDefault="00000000">
      <w:pPr>
        <w:pStyle w:val="Body"/>
        <w:suppressAutoHyphens/>
        <w:spacing w:line="264" w:lineRule="auto"/>
        <w:jc w:val="center"/>
        <w:rPr>
          <w:rFonts w:ascii="Calibri" w:eastAsia="Calibri" w:hAnsi="Calibri" w:cs="Calibri"/>
          <w:color w:val="929000"/>
          <w:kern w:val="2"/>
          <w:sz w:val="36"/>
          <w:szCs w:val="36"/>
          <w:u w:color="929000"/>
        </w:rPr>
      </w:pPr>
      <w:r>
        <w:rPr>
          <w:rFonts w:ascii="Calibri" w:hAnsi="Calibri"/>
          <w:color w:val="C39E12"/>
          <w:kern w:val="2"/>
          <w:sz w:val="36"/>
          <w:szCs w:val="36"/>
          <w:u w:color="929000"/>
        </w:rPr>
        <w:t xml:space="preserve">International Tribunal for Natural Justice </w:t>
      </w:r>
    </w:p>
    <w:p w14:paraId="7F019D99" w14:textId="77777777" w:rsidR="00527363" w:rsidRDefault="00000000">
      <w:pPr>
        <w:pStyle w:val="Body"/>
        <w:tabs>
          <w:tab w:val="left" w:pos="863"/>
        </w:tabs>
        <w:suppressAutoHyphens/>
        <w:spacing w:line="264" w:lineRule="auto"/>
        <w:jc w:val="center"/>
        <w:rPr>
          <w:rFonts w:ascii="Calibri" w:eastAsia="Calibri" w:hAnsi="Calibri" w:cs="Calibri"/>
          <w:color w:val="011993"/>
          <w:kern w:val="2"/>
          <w:sz w:val="30"/>
          <w:szCs w:val="30"/>
          <w:u w:color="935100"/>
        </w:rPr>
      </w:pPr>
      <w:r>
        <w:rPr>
          <w:rFonts w:ascii="Calibri" w:hAnsi="Calibri"/>
          <w:color w:val="011993"/>
          <w:kern w:val="2"/>
          <w:sz w:val="26"/>
          <w:szCs w:val="26"/>
          <w:u w:color="935100"/>
        </w:rPr>
        <w:t>Commission of Inquiry into the Doctrine of Discovery</w:t>
      </w:r>
      <w:r>
        <w:rPr>
          <w:rFonts w:ascii="Calibri" w:hAnsi="Calibri"/>
          <w:color w:val="011993"/>
          <w:kern w:val="2"/>
          <w:sz w:val="30"/>
          <w:szCs w:val="30"/>
          <w:u w:color="935100"/>
        </w:rPr>
        <w:t xml:space="preserve"> </w:t>
      </w:r>
    </w:p>
    <w:p w14:paraId="7C07ED7D" w14:textId="77777777" w:rsidR="00527363" w:rsidRDefault="00527363">
      <w:pPr>
        <w:pStyle w:val="Body"/>
        <w:tabs>
          <w:tab w:val="left" w:pos="863"/>
        </w:tabs>
        <w:suppressAutoHyphens/>
        <w:spacing w:line="264" w:lineRule="auto"/>
        <w:jc w:val="center"/>
        <w:rPr>
          <w:rFonts w:ascii="Calibri" w:eastAsia="Calibri" w:hAnsi="Calibri" w:cs="Calibri"/>
          <w:color w:val="011993"/>
          <w:kern w:val="2"/>
          <w:sz w:val="30"/>
          <w:szCs w:val="30"/>
          <w:u w:color="935100"/>
        </w:rPr>
      </w:pPr>
    </w:p>
    <w:p w14:paraId="572EDECD" w14:textId="77777777" w:rsidR="00527363" w:rsidRDefault="00000000">
      <w:pPr>
        <w:pStyle w:val="Body"/>
        <w:tabs>
          <w:tab w:val="left" w:pos="863"/>
        </w:tabs>
        <w:suppressAutoHyphens/>
        <w:spacing w:line="264" w:lineRule="auto"/>
        <w:jc w:val="center"/>
        <w:rPr>
          <w:rFonts w:ascii="Calibri" w:eastAsia="Calibri" w:hAnsi="Calibri" w:cs="Calibri"/>
          <w:color w:val="011993"/>
          <w:kern w:val="2"/>
          <w:sz w:val="26"/>
          <w:szCs w:val="26"/>
          <w:u w:color="000000"/>
        </w:rPr>
      </w:pPr>
      <w:r>
        <w:rPr>
          <w:rFonts w:ascii="Calibri" w:hAnsi="Calibri"/>
          <w:color w:val="011993"/>
          <w:kern w:val="2"/>
          <w:sz w:val="26"/>
          <w:szCs w:val="26"/>
          <w:u w:color="935100"/>
        </w:rPr>
        <w:t>Terms of Reference</w:t>
      </w:r>
    </w:p>
    <w:p w14:paraId="3C264B32" w14:textId="77777777" w:rsidR="00527363" w:rsidRDefault="00527363">
      <w:pPr>
        <w:pStyle w:val="Body"/>
        <w:suppressAutoHyphens/>
        <w:rPr>
          <w:rFonts w:ascii="Calibri" w:eastAsia="Calibri" w:hAnsi="Calibri" w:cs="Calibri"/>
          <w:kern w:val="2"/>
          <w:u w:color="000000"/>
        </w:rPr>
      </w:pPr>
    </w:p>
    <w:p w14:paraId="241F8625" w14:textId="77777777" w:rsidR="00527363" w:rsidRDefault="00000000">
      <w:pPr>
        <w:pStyle w:val="Body"/>
        <w:keepNext/>
        <w:keepLines/>
        <w:suppressAutoHyphens/>
        <w:spacing w:before="40" w:line="288" w:lineRule="auto"/>
        <w:rPr>
          <w:rFonts w:ascii="Calibri" w:eastAsia="Calibri" w:hAnsi="Calibri" w:cs="Calibri"/>
          <w:color w:val="C39E12"/>
          <w:kern w:val="2"/>
          <w:sz w:val="22"/>
          <w:szCs w:val="22"/>
          <w:u w:color="929000"/>
        </w:rPr>
      </w:pPr>
      <w:r>
        <w:rPr>
          <w:rFonts w:ascii="Calibri" w:hAnsi="Calibri"/>
          <w:color w:val="C39E12"/>
          <w:kern w:val="2"/>
          <w:u w:color="929000"/>
        </w:rPr>
        <w:t>Preamble:</w:t>
      </w:r>
      <w:r>
        <w:rPr>
          <w:rFonts w:ascii="Calibri" w:hAnsi="Calibri"/>
          <w:color w:val="C39E12"/>
          <w:kern w:val="2"/>
          <w:sz w:val="22"/>
          <w:szCs w:val="22"/>
          <w:u w:color="929000"/>
        </w:rPr>
        <w:t xml:space="preserve"> </w:t>
      </w:r>
    </w:p>
    <w:p w14:paraId="686A1022" w14:textId="77777777" w:rsidR="00527363" w:rsidRDefault="00527363">
      <w:pPr>
        <w:pStyle w:val="Body"/>
        <w:keepNext/>
        <w:keepLines/>
        <w:suppressAutoHyphens/>
        <w:spacing w:before="40" w:line="288" w:lineRule="auto"/>
        <w:rPr>
          <w:rFonts w:ascii="Calibri" w:eastAsia="Calibri" w:hAnsi="Calibri" w:cs="Calibri"/>
          <w:color w:val="C39E12"/>
          <w:kern w:val="2"/>
          <w:u w:color="000000"/>
        </w:rPr>
      </w:pPr>
    </w:p>
    <w:p w14:paraId="47F9C842" w14:textId="75290655" w:rsidR="00527363" w:rsidRDefault="00000000">
      <w:pPr>
        <w:pStyle w:val="Body"/>
        <w:numPr>
          <w:ilvl w:val="0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Whereas the Doctrine of Discovery originated from Papal Bulls in the 14</w:t>
      </w:r>
      <w:r>
        <w:rPr>
          <w:rFonts w:ascii="Calibri" w:hAnsi="Calibri"/>
          <w:color w:val="011993"/>
          <w:kern w:val="2"/>
          <w:sz w:val="22"/>
          <w:szCs w:val="22"/>
          <w:u w:color="935100"/>
          <w:vertAlign w:val="superscript"/>
        </w:rPr>
        <w:t>th</w:t>
      </w: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 and 15</w:t>
      </w:r>
      <w:r>
        <w:rPr>
          <w:rFonts w:ascii="Calibri" w:hAnsi="Calibri"/>
          <w:color w:val="011993"/>
          <w:kern w:val="2"/>
          <w:sz w:val="22"/>
          <w:szCs w:val="22"/>
          <w:u w:color="935100"/>
          <w:vertAlign w:val="superscript"/>
        </w:rPr>
        <w:t>th</w:t>
      </w: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 centuries, in particular, </w:t>
      </w:r>
      <w:r>
        <w:rPr>
          <w:rFonts w:ascii="Calibri" w:hAnsi="Calibri"/>
          <w:color w:val="011993"/>
          <w:kern w:val="2"/>
          <w:sz w:val="22"/>
          <w:szCs w:val="22"/>
          <w:u w:color="935100"/>
          <w:lang w:val="pt-PT"/>
        </w:rPr>
        <w:t>Unam Sanct</w:t>
      </w:r>
      <w:r w:rsidR="00762AA2">
        <w:rPr>
          <w:rFonts w:ascii="Calibri" w:hAnsi="Calibri"/>
          <w:color w:val="011993"/>
          <w:kern w:val="2"/>
          <w:sz w:val="22"/>
          <w:szCs w:val="22"/>
          <w:u w:color="935100"/>
          <w:lang w:val="pt-PT"/>
        </w:rPr>
        <w:t>a</w:t>
      </w:r>
      <w:r>
        <w:rPr>
          <w:rFonts w:ascii="Calibri" w:hAnsi="Calibri"/>
          <w:color w:val="011993"/>
          <w:kern w:val="2"/>
          <w:sz w:val="22"/>
          <w:szCs w:val="22"/>
          <w:u w:color="935100"/>
          <w:lang w:val="pt-PT"/>
        </w:rPr>
        <w:t xml:space="preserve">m 1302, Dum Diversas 1452, Romanus Pontifex 1455, </w:t>
      </w: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 </w:t>
      </w:r>
      <w:proofErr w:type="spellStart"/>
      <w:r>
        <w:rPr>
          <w:rFonts w:ascii="Calibri" w:hAnsi="Calibri"/>
          <w:color w:val="011993"/>
          <w:kern w:val="2"/>
          <w:sz w:val="22"/>
          <w:szCs w:val="22"/>
          <w:u w:color="935100"/>
        </w:rPr>
        <w:t>Aeterni</w:t>
      </w:r>
      <w:proofErr w:type="spellEnd"/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 Regis 1481, and Inter </w:t>
      </w:r>
      <w:proofErr w:type="spellStart"/>
      <w:r>
        <w:rPr>
          <w:rFonts w:ascii="Calibri" w:hAnsi="Calibri"/>
          <w:color w:val="011993"/>
          <w:kern w:val="2"/>
          <w:sz w:val="22"/>
          <w:szCs w:val="22"/>
          <w:u w:color="935100"/>
        </w:rPr>
        <w:t>caetera</w:t>
      </w:r>
      <w:proofErr w:type="spellEnd"/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 1493 etc.; and</w:t>
      </w:r>
    </w:p>
    <w:p w14:paraId="548478FF" w14:textId="77777777" w:rsidR="00527363" w:rsidRDefault="00527363">
      <w:pPr>
        <w:pStyle w:val="Body"/>
        <w:tabs>
          <w:tab w:val="left" w:pos="1077"/>
        </w:tabs>
        <w:suppressAutoHyphens/>
        <w:spacing w:line="288" w:lineRule="auto"/>
        <w:rPr>
          <w:rFonts w:ascii="Calibri" w:eastAsia="Calibri" w:hAnsi="Calibri" w:cs="Calibri"/>
          <w:color w:val="011993"/>
          <w:kern w:val="2"/>
          <w:u w:color="000000"/>
        </w:rPr>
      </w:pPr>
    </w:p>
    <w:p w14:paraId="434CAEFB" w14:textId="635E9961" w:rsidR="00527363" w:rsidRPr="00762AA2" w:rsidRDefault="00000000" w:rsidP="00762AA2">
      <w:pPr>
        <w:pStyle w:val="Body"/>
        <w:numPr>
          <w:ilvl w:val="0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Whereas the Doctrine of Discovery dated from 4</w:t>
      </w:r>
      <w:r>
        <w:rPr>
          <w:rFonts w:ascii="Calibri" w:hAnsi="Calibri"/>
          <w:color w:val="011993"/>
          <w:kern w:val="2"/>
          <w:sz w:val="22"/>
          <w:szCs w:val="22"/>
          <w:u w:color="935100"/>
          <w:vertAlign w:val="superscript"/>
        </w:rPr>
        <w:t>th</w:t>
      </w: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 May 1493 until 30</w:t>
      </w:r>
      <w:r>
        <w:rPr>
          <w:rFonts w:ascii="Calibri" w:hAnsi="Calibri"/>
          <w:color w:val="011993"/>
          <w:kern w:val="2"/>
          <w:sz w:val="22"/>
          <w:szCs w:val="22"/>
          <w:u w:color="935100"/>
          <w:vertAlign w:val="superscript"/>
        </w:rPr>
        <w:t>th</w:t>
      </w: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 March 2023,</w:t>
      </w:r>
      <w:r w:rsidR="00762AA2">
        <w:rPr>
          <w:rFonts w:ascii="Calibri" w:hAnsi="Calibri"/>
          <w:color w:val="011993"/>
          <w:kern w:val="2"/>
          <w:sz w:val="22"/>
          <w:szCs w:val="22"/>
          <w:u w:color="000000"/>
        </w:rPr>
        <w:t xml:space="preserve"> </w:t>
      </w:r>
      <w:r w:rsidRPr="00762AA2"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was used to </w:t>
      </w:r>
      <w:proofErr w:type="spellStart"/>
      <w:r w:rsidRPr="00762AA2">
        <w:rPr>
          <w:rFonts w:ascii="Calibri" w:hAnsi="Calibri"/>
          <w:color w:val="011993"/>
          <w:kern w:val="2"/>
          <w:sz w:val="22"/>
          <w:szCs w:val="22"/>
          <w:u w:color="935100"/>
        </w:rPr>
        <w:t>legitimise</w:t>
      </w:r>
      <w:proofErr w:type="spellEnd"/>
      <w:r w:rsidRPr="00762AA2"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 the theft and dispossession of First Nation Peoples’ lands, waters, DNA, and other resources; and </w:t>
      </w:r>
    </w:p>
    <w:p w14:paraId="6FE1B4AA" w14:textId="77777777" w:rsidR="00527363" w:rsidRDefault="00527363">
      <w:pPr>
        <w:pStyle w:val="Body"/>
        <w:tabs>
          <w:tab w:val="left" w:pos="1871"/>
        </w:tabs>
        <w:suppressAutoHyphens/>
        <w:spacing w:line="288" w:lineRule="auto"/>
        <w:rPr>
          <w:rFonts w:ascii="Calibri" w:eastAsia="Calibri" w:hAnsi="Calibri" w:cs="Calibri"/>
          <w:color w:val="011993"/>
          <w:kern w:val="2"/>
          <w:u w:color="000000"/>
        </w:rPr>
      </w:pPr>
    </w:p>
    <w:p w14:paraId="40DCC3A9" w14:textId="77777777" w:rsidR="00527363" w:rsidRDefault="00000000">
      <w:pPr>
        <w:pStyle w:val="Body"/>
        <w:numPr>
          <w:ilvl w:val="0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Whereas the Doctrine of Discovery was used to justify </w:t>
      </w:r>
      <w:proofErr w:type="spellStart"/>
      <w:r>
        <w:rPr>
          <w:rFonts w:ascii="Calibri" w:hAnsi="Calibri"/>
          <w:color w:val="011993"/>
          <w:kern w:val="2"/>
          <w:sz w:val="22"/>
          <w:szCs w:val="22"/>
          <w:u w:color="935100"/>
        </w:rPr>
        <w:t>colonisation</w:t>
      </w:r>
      <w:proofErr w:type="spellEnd"/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 and genocide of First Nation Peoples, their languages and cultures and</w:t>
      </w:r>
    </w:p>
    <w:p w14:paraId="704B056E" w14:textId="77777777" w:rsidR="00527363" w:rsidRDefault="00527363">
      <w:pPr>
        <w:pStyle w:val="Body"/>
        <w:tabs>
          <w:tab w:val="left" w:pos="1871"/>
        </w:tabs>
        <w:suppressAutoHyphens/>
        <w:spacing w:line="288" w:lineRule="auto"/>
        <w:rPr>
          <w:rFonts w:ascii="Calibri" w:eastAsia="Calibri" w:hAnsi="Calibri" w:cs="Calibri"/>
          <w:color w:val="011993"/>
          <w:kern w:val="2"/>
          <w:u w:color="000000"/>
        </w:rPr>
      </w:pPr>
    </w:p>
    <w:p w14:paraId="091C4167" w14:textId="77777777" w:rsidR="00527363" w:rsidRDefault="00000000">
      <w:pPr>
        <w:pStyle w:val="Body"/>
        <w:numPr>
          <w:ilvl w:val="0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Whereas the Doctrine of Discovery has been </w:t>
      </w:r>
      <w:proofErr w:type="spellStart"/>
      <w:r>
        <w:rPr>
          <w:rFonts w:ascii="Calibri" w:hAnsi="Calibri"/>
          <w:color w:val="011993"/>
          <w:kern w:val="2"/>
          <w:sz w:val="22"/>
          <w:szCs w:val="22"/>
          <w:u w:color="935100"/>
        </w:rPr>
        <w:t>recognised</w:t>
      </w:r>
      <w:proofErr w:type="spellEnd"/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 by international bodies as a violation of Human Rights and a barrier to the full </w:t>
      </w:r>
      <w:proofErr w:type="spellStart"/>
      <w:r>
        <w:rPr>
          <w:rFonts w:ascii="Calibri" w:hAnsi="Calibri"/>
          <w:color w:val="011993"/>
          <w:kern w:val="2"/>
          <w:sz w:val="22"/>
          <w:szCs w:val="22"/>
          <w:u w:color="935100"/>
        </w:rPr>
        <w:t>realisation</w:t>
      </w:r>
      <w:proofErr w:type="spellEnd"/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 of First Nation rights including the Right to Self-determination; and </w:t>
      </w:r>
    </w:p>
    <w:p w14:paraId="1C05CA63" w14:textId="77777777" w:rsidR="00527363" w:rsidRDefault="00527363">
      <w:pPr>
        <w:pStyle w:val="Body"/>
        <w:tabs>
          <w:tab w:val="left" w:pos="1077"/>
        </w:tabs>
        <w:suppressAutoHyphens/>
        <w:spacing w:line="288" w:lineRule="auto"/>
        <w:rPr>
          <w:rFonts w:ascii="Calibri" w:eastAsia="Calibri" w:hAnsi="Calibri" w:cs="Calibri"/>
          <w:color w:val="011993"/>
          <w:kern w:val="2"/>
          <w:u w:color="000000"/>
        </w:rPr>
      </w:pPr>
    </w:p>
    <w:p w14:paraId="2531F3C2" w14:textId="77777777" w:rsidR="00527363" w:rsidRDefault="00000000">
      <w:pPr>
        <w:pStyle w:val="Body"/>
        <w:numPr>
          <w:ilvl w:val="0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Whereas on 30</w:t>
      </w:r>
      <w:r>
        <w:rPr>
          <w:rFonts w:ascii="Calibri" w:hAnsi="Calibri"/>
          <w:color w:val="011993"/>
          <w:kern w:val="2"/>
          <w:sz w:val="22"/>
          <w:szCs w:val="22"/>
          <w:u w:color="935100"/>
          <w:vertAlign w:val="superscript"/>
        </w:rPr>
        <w:t>th</w:t>
      </w: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 of March 2023 the Vatican formally repudiated the Doctrine of Discovery;</w:t>
      </w:r>
    </w:p>
    <w:p w14:paraId="0861315F" w14:textId="77777777" w:rsidR="00527363" w:rsidRDefault="00527363">
      <w:pPr>
        <w:pStyle w:val="Body"/>
        <w:tabs>
          <w:tab w:val="left" w:pos="397"/>
        </w:tabs>
        <w:suppressAutoHyphens/>
        <w:spacing w:line="288" w:lineRule="auto"/>
        <w:rPr>
          <w:rFonts w:ascii="Calibri" w:eastAsia="Calibri" w:hAnsi="Calibri" w:cs="Calibri"/>
          <w:color w:val="011993"/>
          <w:kern w:val="2"/>
          <w:sz w:val="22"/>
          <w:szCs w:val="22"/>
          <w:u w:color="935100"/>
        </w:rPr>
      </w:pPr>
    </w:p>
    <w:p w14:paraId="13AFBF77" w14:textId="77777777" w:rsidR="00527363" w:rsidRDefault="00000000">
      <w:pPr>
        <w:pStyle w:val="Body"/>
        <w:numPr>
          <w:ilvl w:val="0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Therefore, the</w:t>
      </w:r>
      <w:r>
        <w:rPr>
          <w:rFonts w:ascii="Calibri" w:hAnsi="Calibri"/>
          <w:color w:val="935100"/>
          <w:kern w:val="2"/>
          <w:sz w:val="22"/>
          <w:szCs w:val="22"/>
          <w:u w:color="935100"/>
        </w:rPr>
        <w:t xml:space="preserve"> </w:t>
      </w:r>
      <w:r>
        <w:rPr>
          <w:rFonts w:ascii="Calibri" w:hAnsi="Calibri"/>
          <w:color w:val="C39E12"/>
          <w:kern w:val="2"/>
          <w:sz w:val="22"/>
          <w:szCs w:val="22"/>
          <w:u w:color="929000"/>
        </w:rPr>
        <w:t>World Hereditary Council</w:t>
      </w:r>
      <w:r>
        <w:rPr>
          <w:rFonts w:ascii="Calibri" w:hAnsi="Calibri"/>
          <w:color w:val="935100"/>
          <w:kern w:val="2"/>
          <w:sz w:val="22"/>
          <w:szCs w:val="22"/>
          <w:u w:color="935100"/>
        </w:rPr>
        <w:t xml:space="preserve"> </w:t>
      </w:r>
      <w:r>
        <w:rPr>
          <w:rFonts w:ascii="Calibri" w:hAnsi="Calibri"/>
          <w:color w:val="011993"/>
          <w:kern w:val="2"/>
          <w:sz w:val="22"/>
          <w:szCs w:val="22"/>
          <w:u w:color="935100"/>
        </w:rPr>
        <w:t>requests</w:t>
      </w:r>
      <w:r>
        <w:rPr>
          <w:rFonts w:ascii="Calibri" w:hAnsi="Calibri"/>
          <w:color w:val="935100"/>
          <w:kern w:val="2"/>
          <w:sz w:val="22"/>
          <w:szCs w:val="22"/>
          <w:u w:color="935100"/>
        </w:rPr>
        <w:t xml:space="preserve"> </w:t>
      </w:r>
      <w:r>
        <w:rPr>
          <w:rFonts w:ascii="Calibri" w:hAnsi="Calibri"/>
          <w:color w:val="011993"/>
          <w:kern w:val="2"/>
          <w:sz w:val="22"/>
          <w:szCs w:val="22"/>
          <w:u w:color="935100"/>
        </w:rPr>
        <w:t>the</w:t>
      </w:r>
      <w:r>
        <w:rPr>
          <w:rFonts w:ascii="Calibri" w:hAnsi="Calibri"/>
          <w:color w:val="935100"/>
          <w:kern w:val="2"/>
          <w:sz w:val="22"/>
          <w:szCs w:val="22"/>
          <w:u w:color="935100"/>
        </w:rPr>
        <w:t xml:space="preserve"> </w:t>
      </w:r>
      <w:r>
        <w:rPr>
          <w:rFonts w:ascii="Calibri" w:hAnsi="Calibri"/>
          <w:color w:val="C39E12"/>
          <w:kern w:val="2"/>
          <w:sz w:val="22"/>
          <w:szCs w:val="22"/>
          <w:u w:color="929000"/>
        </w:rPr>
        <w:t xml:space="preserve">International Tribunal for Natural Justice </w:t>
      </w:r>
      <w:r>
        <w:rPr>
          <w:rFonts w:ascii="Calibri" w:hAnsi="Calibri"/>
          <w:color w:val="C39E12"/>
          <w:kern w:val="2"/>
          <w:sz w:val="20"/>
          <w:szCs w:val="20"/>
          <w:u w:color="929000"/>
        </w:rPr>
        <w:t xml:space="preserve">(ITNJ) </w:t>
      </w:r>
      <w:r>
        <w:rPr>
          <w:rFonts w:ascii="Calibri" w:hAnsi="Calibri"/>
          <w:color w:val="011993"/>
          <w:kern w:val="2"/>
          <w:sz w:val="22"/>
          <w:szCs w:val="22"/>
          <w:u w:color="935100"/>
        </w:rPr>
        <w:t>to establish a</w:t>
      </w:r>
      <w:r>
        <w:rPr>
          <w:rFonts w:ascii="Calibri" w:hAnsi="Calibri"/>
          <w:color w:val="929000"/>
          <w:kern w:val="2"/>
          <w:sz w:val="22"/>
          <w:szCs w:val="22"/>
          <w:u w:color="929000"/>
        </w:rPr>
        <w:t xml:space="preserve"> </w:t>
      </w:r>
      <w:r>
        <w:rPr>
          <w:rFonts w:ascii="Calibri" w:hAnsi="Calibri"/>
          <w:color w:val="C39E12"/>
          <w:kern w:val="2"/>
          <w:sz w:val="22"/>
          <w:szCs w:val="22"/>
          <w:u w:color="929000"/>
        </w:rPr>
        <w:t>Commission of Inquiry</w:t>
      </w:r>
      <w:r>
        <w:rPr>
          <w:rFonts w:ascii="Calibri" w:hAnsi="Calibri"/>
          <w:color w:val="929000"/>
          <w:kern w:val="2"/>
          <w:sz w:val="22"/>
          <w:szCs w:val="22"/>
          <w:u w:color="929000"/>
        </w:rPr>
        <w:t xml:space="preserve"> </w:t>
      </w:r>
      <w:r>
        <w:rPr>
          <w:rFonts w:ascii="Calibri" w:hAnsi="Calibri"/>
          <w:color w:val="011993"/>
          <w:kern w:val="2"/>
          <w:sz w:val="22"/>
          <w:szCs w:val="22"/>
          <w:u w:color="935100"/>
        </w:rPr>
        <w:t>into the Doctrine of Discovery.</w:t>
      </w:r>
      <w:r>
        <w:rPr>
          <w:rFonts w:ascii="Calibri" w:hAnsi="Calibri"/>
          <w:color w:val="011993"/>
          <w:kern w:val="2"/>
          <w:sz w:val="22"/>
          <w:szCs w:val="22"/>
          <w:u w:color="942092"/>
        </w:rPr>
        <w:t xml:space="preserve"> </w:t>
      </w:r>
    </w:p>
    <w:p w14:paraId="1613E75B" w14:textId="77777777" w:rsidR="00762AA2" w:rsidRDefault="00762AA2">
      <w:pPr>
        <w:rPr>
          <w:rFonts w:ascii="Calibri" w:hAnsi="Calibri" w:cs="Arial Unicode MS"/>
          <w:color w:val="011993"/>
          <w:kern w:val="2"/>
          <w:u w:color="929000"/>
          <w:lang w:eastAsia="en-N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/>
          <w:color w:val="011993"/>
          <w:kern w:val="2"/>
          <w:u w:color="929000"/>
        </w:rPr>
        <w:br w:type="page"/>
      </w:r>
    </w:p>
    <w:p w14:paraId="0AA7D20E" w14:textId="5FCEA81A" w:rsidR="00527363" w:rsidRPr="001B4C02" w:rsidRDefault="00000000" w:rsidP="00762AA2">
      <w:pPr>
        <w:pStyle w:val="Body"/>
        <w:tabs>
          <w:tab w:val="left" w:pos="397"/>
        </w:tabs>
        <w:suppressAutoHyphens/>
        <w:spacing w:line="288" w:lineRule="auto"/>
        <w:rPr>
          <w:rFonts w:ascii="Calibri" w:eastAsia="Calibri" w:hAnsi="Calibri" w:cs="Calibri"/>
          <w:color w:val="011993"/>
          <w:kern w:val="2"/>
          <w:sz w:val="28"/>
          <w:szCs w:val="28"/>
          <w:u w:color="000000"/>
        </w:rPr>
      </w:pPr>
      <w:r w:rsidRPr="001B4C02">
        <w:rPr>
          <w:rFonts w:ascii="Calibri" w:hAnsi="Calibri"/>
          <w:color w:val="011993"/>
          <w:kern w:val="2"/>
          <w:sz w:val="28"/>
          <w:szCs w:val="26"/>
          <w:u w:color="929000"/>
        </w:rPr>
        <w:lastRenderedPageBreak/>
        <w:t>Terms of Reference:</w:t>
      </w:r>
    </w:p>
    <w:p w14:paraId="63320B9F" w14:textId="77777777" w:rsidR="00527363" w:rsidRDefault="00527363">
      <w:pPr>
        <w:pStyle w:val="Body"/>
        <w:tabs>
          <w:tab w:val="left" w:pos="397"/>
        </w:tabs>
        <w:suppressAutoHyphens/>
        <w:spacing w:line="288" w:lineRule="auto"/>
        <w:rPr>
          <w:rFonts w:ascii="Calibri" w:eastAsia="Calibri" w:hAnsi="Calibri" w:cs="Calibri"/>
          <w:kern w:val="2"/>
          <w:u w:color="000000"/>
        </w:rPr>
      </w:pPr>
    </w:p>
    <w:p w14:paraId="11F4B6DE" w14:textId="77777777" w:rsidR="00527363" w:rsidRDefault="00000000">
      <w:pPr>
        <w:pStyle w:val="Body"/>
        <w:numPr>
          <w:ilvl w:val="0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To investigate the origins and historical context of the Doctrine of Discovery, including without limitation: </w:t>
      </w:r>
    </w:p>
    <w:p w14:paraId="74182FE6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its development in International Law, and </w:t>
      </w:r>
    </w:p>
    <w:p w14:paraId="5EF26ECF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its application in various Colonial contexts.</w:t>
      </w:r>
    </w:p>
    <w:p w14:paraId="1591D68A" w14:textId="77777777" w:rsidR="00527363" w:rsidRDefault="00527363">
      <w:pPr>
        <w:pStyle w:val="Body"/>
        <w:tabs>
          <w:tab w:val="left" w:pos="1077"/>
        </w:tabs>
        <w:suppressAutoHyphens/>
        <w:spacing w:line="288" w:lineRule="auto"/>
        <w:rPr>
          <w:rFonts w:ascii="Calibri" w:eastAsia="Calibri" w:hAnsi="Calibri" w:cs="Calibri"/>
          <w:color w:val="011993"/>
          <w:kern w:val="2"/>
          <w:u w:color="000000"/>
        </w:rPr>
      </w:pPr>
    </w:p>
    <w:p w14:paraId="16E02FB9" w14:textId="79E3AA6A" w:rsidR="00527363" w:rsidRDefault="00000000">
      <w:pPr>
        <w:pStyle w:val="Body"/>
        <w:numPr>
          <w:ilvl w:val="0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To receive and formally document Testimony and examine the impacts of the Doctrine of Discovery on Peoples of the world including without limitation:</w:t>
      </w:r>
    </w:p>
    <w:p w14:paraId="3193798A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their cultures, languages, lands, waters, and other natural resources, and</w:t>
      </w:r>
    </w:p>
    <w:p w14:paraId="01AA78DB" w14:textId="339D7654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the lasting effects of dispossession, forced relocation and genocide</w:t>
      </w:r>
      <w:r w:rsidR="00981C6C" w:rsidRPr="00981C6C">
        <w:rPr>
          <w:rFonts w:ascii="Calibri" w:hAnsi="Calibri"/>
          <w:color w:val="011993"/>
          <w:kern w:val="2"/>
          <w:sz w:val="22"/>
          <w:szCs w:val="22"/>
          <w:u w:color="935100"/>
        </w:rPr>
        <w:t>, and resulting transfers of wealth and advantage</w:t>
      </w:r>
      <w:r>
        <w:rPr>
          <w:rFonts w:ascii="Calibri" w:hAnsi="Calibri"/>
          <w:color w:val="011993"/>
          <w:kern w:val="2"/>
          <w:sz w:val="22"/>
          <w:szCs w:val="22"/>
          <w:u w:color="935100"/>
        </w:rPr>
        <w:t>.</w:t>
      </w:r>
    </w:p>
    <w:p w14:paraId="03EB153F" w14:textId="77777777" w:rsidR="00527363" w:rsidRDefault="00527363">
      <w:pPr>
        <w:pStyle w:val="Body"/>
        <w:tabs>
          <w:tab w:val="left" w:pos="1077"/>
        </w:tabs>
        <w:suppressAutoHyphens/>
        <w:spacing w:line="288" w:lineRule="auto"/>
        <w:rPr>
          <w:rFonts w:ascii="Calibri" w:eastAsia="Calibri" w:hAnsi="Calibri" w:cs="Calibri"/>
          <w:color w:val="011993"/>
          <w:kern w:val="2"/>
          <w:u w:color="000000"/>
        </w:rPr>
      </w:pPr>
    </w:p>
    <w:p w14:paraId="6C9AC164" w14:textId="77777777" w:rsidR="00527363" w:rsidRDefault="00000000">
      <w:pPr>
        <w:pStyle w:val="Body"/>
        <w:numPr>
          <w:ilvl w:val="0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To assess the ways in which the Doctrine of Discovery continues to impact the world today, including </w:t>
      </w:r>
    </w:p>
    <w:p w14:paraId="07FA104F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local, regional, national and international entities, </w:t>
      </w:r>
    </w:p>
    <w:p w14:paraId="1F505C20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  <w:lang w:val="it-IT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  <w:lang w:val="it-IT"/>
        </w:rPr>
        <w:t>multilateralism,</w:t>
      </w:r>
    </w:p>
    <w:p w14:paraId="68EAFEA8" w14:textId="28B392FF" w:rsidR="00527363" w:rsidRPr="00D30F9A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the continued reliance upon the Doctrine of Discovery in Law</w:t>
      </w:r>
      <w:r w:rsidR="00D30F9A">
        <w:rPr>
          <w:rFonts w:ascii="Calibri" w:hAnsi="Calibri"/>
          <w:color w:val="011993"/>
          <w:kern w:val="2"/>
          <w:sz w:val="22"/>
          <w:szCs w:val="22"/>
          <w:u w:color="935100"/>
        </w:rPr>
        <w:t>,</w:t>
      </w:r>
    </w:p>
    <w:p w14:paraId="0D392A52" w14:textId="1B7299C7" w:rsidR="00D30F9A" w:rsidRDefault="00D30F9A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 w:rsidRPr="00D30F9A">
        <w:rPr>
          <w:rFonts w:ascii="Calibri" w:hAnsi="Calibri"/>
          <w:color w:val="011993"/>
          <w:kern w:val="2"/>
          <w:sz w:val="22"/>
          <w:szCs w:val="22"/>
          <w:u w:color="000000"/>
        </w:rPr>
        <w:t xml:space="preserve">systems </w:t>
      </w:r>
      <w:r>
        <w:rPr>
          <w:rFonts w:ascii="Calibri" w:hAnsi="Calibri"/>
          <w:color w:val="011993"/>
          <w:kern w:val="2"/>
          <w:sz w:val="22"/>
          <w:szCs w:val="22"/>
          <w:u w:color="000000"/>
        </w:rPr>
        <w:t xml:space="preserve">and technologies </w:t>
      </w:r>
      <w:r w:rsidRPr="00D30F9A">
        <w:rPr>
          <w:rFonts w:ascii="Calibri" w:hAnsi="Calibri"/>
          <w:color w:val="011993"/>
          <w:kern w:val="2"/>
          <w:sz w:val="22"/>
          <w:szCs w:val="22"/>
          <w:u w:color="000000"/>
        </w:rPr>
        <w:t xml:space="preserve">that perpetuate </w:t>
      </w:r>
      <w:r>
        <w:rPr>
          <w:rFonts w:ascii="Calibri" w:hAnsi="Calibri"/>
          <w:color w:val="011993"/>
          <w:kern w:val="2"/>
          <w:sz w:val="22"/>
          <w:szCs w:val="22"/>
          <w:u w:color="000000"/>
        </w:rPr>
        <w:t>control over the peoples of the world</w:t>
      </w:r>
      <w:r w:rsidRPr="00D30F9A">
        <w:rPr>
          <w:rFonts w:ascii="Calibri" w:hAnsi="Calibri"/>
          <w:color w:val="011993"/>
          <w:kern w:val="2"/>
          <w:sz w:val="22"/>
          <w:szCs w:val="22"/>
          <w:u w:color="000000"/>
        </w:rPr>
        <w:t>.</w:t>
      </w:r>
    </w:p>
    <w:p w14:paraId="1A38545E" w14:textId="77777777" w:rsidR="00527363" w:rsidRDefault="00527363">
      <w:pPr>
        <w:pStyle w:val="Body"/>
        <w:tabs>
          <w:tab w:val="left" w:pos="1077"/>
        </w:tabs>
        <w:suppressAutoHyphens/>
        <w:spacing w:line="288" w:lineRule="auto"/>
        <w:rPr>
          <w:rFonts w:ascii="Calibri" w:eastAsia="Calibri" w:hAnsi="Calibri" w:cs="Calibri"/>
          <w:color w:val="011993"/>
          <w:kern w:val="2"/>
          <w:u w:color="000000"/>
        </w:rPr>
      </w:pPr>
    </w:p>
    <w:p w14:paraId="7E094BBF" w14:textId="77777777" w:rsidR="00527363" w:rsidRDefault="00000000">
      <w:pPr>
        <w:pStyle w:val="Body"/>
        <w:numPr>
          <w:ilvl w:val="0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To examine and expose: </w:t>
      </w:r>
    </w:p>
    <w:p w14:paraId="45ABE808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the role of various </w:t>
      </w:r>
    </w:p>
    <w:p w14:paraId="6EF1484E" w14:textId="77777777" w:rsidR="00527363" w:rsidRDefault="00000000">
      <w:pPr>
        <w:pStyle w:val="Body"/>
        <w:numPr>
          <w:ilvl w:val="2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governments, </w:t>
      </w:r>
    </w:p>
    <w:p w14:paraId="396FCA87" w14:textId="77777777" w:rsidR="00527363" w:rsidRDefault="00000000">
      <w:pPr>
        <w:pStyle w:val="Body"/>
        <w:numPr>
          <w:ilvl w:val="2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churches, </w:t>
      </w:r>
    </w:p>
    <w:p w14:paraId="10B96FFE" w14:textId="77777777" w:rsidR="00527363" w:rsidRDefault="00000000">
      <w:pPr>
        <w:pStyle w:val="Body"/>
        <w:numPr>
          <w:ilvl w:val="2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corporations, and/or </w:t>
      </w:r>
    </w:p>
    <w:p w14:paraId="350A19AC" w14:textId="77777777" w:rsidR="00527363" w:rsidRDefault="00000000">
      <w:pPr>
        <w:pStyle w:val="Body"/>
        <w:numPr>
          <w:ilvl w:val="2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other parties </w:t>
      </w:r>
    </w:p>
    <w:p w14:paraId="5F87B060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in propagation and enforcement of the Doctrine of Discovery </w:t>
      </w:r>
    </w:p>
    <w:p w14:paraId="73864B5B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including their complicity in past and ongoing: </w:t>
      </w:r>
    </w:p>
    <w:p w14:paraId="0205E543" w14:textId="77777777" w:rsidR="00527363" w:rsidRDefault="00000000">
      <w:pPr>
        <w:pStyle w:val="Body"/>
        <w:numPr>
          <w:ilvl w:val="2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human rights violations, and/or </w:t>
      </w:r>
    </w:p>
    <w:p w14:paraId="3738F0EA" w14:textId="77777777" w:rsidR="00527363" w:rsidRDefault="00000000">
      <w:pPr>
        <w:pStyle w:val="Body"/>
        <w:numPr>
          <w:ilvl w:val="2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crimes against humanity.</w:t>
      </w:r>
    </w:p>
    <w:p w14:paraId="1E7F15FB" w14:textId="77777777" w:rsidR="00527363" w:rsidRDefault="00527363">
      <w:pPr>
        <w:pStyle w:val="Body"/>
        <w:tabs>
          <w:tab w:val="left" w:pos="1871"/>
        </w:tabs>
        <w:suppressAutoHyphens/>
        <w:spacing w:line="288" w:lineRule="auto"/>
        <w:rPr>
          <w:rFonts w:ascii="Calibri" w:eastAsia="Calibri" w:hAnsi="Calibri" w:cs="Calibri"/>
          <w:color w:val="011993"/>
          <w:kern w:val="2"/>
          <w:u w:color="000000"/>
        </w:rPr>
      </w:pPr>
    </w:p>
    <w:p w14:paraId="0C7B07EB" w14:textId="77777777" w:rsidR="00527363" w:rsidRDefault="00000000" w:rsidP="00762AA2">
      <w:pPr>
        <w:pStyle w:val="Body"/>
        <w:keepNext/>
        <w:numPr>
          <w:ilvl w:val="0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To recommend practical steps that can be taken to: </w:t>
      </w:r>
    </w:p>
    <w:p w14:paraId="66EB6BA8" w14:textId="2ADEED4F" w:rsidR="00527363" w:rsidRDefault="00D30F9A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re</w:t>
      </w:r>
      <w:r w:rsidR="00000000">
        <w:rPr>
          <w:rFonts w:ascii="Calibri" w:hAnsi="Calibri"/>
          <w:color w:val="011993"/>
          <w:kern w:val="2"/>
          <w:sz w:val="22"/>
          <w:szCs w:val="22"/>
          <w:u w:color="935100"/>
        </w:rPr>
        <w:t>dress the historic and ongoing impacts of the Doctrine of Discovery and</w:t>
      </w:r>
    </w:p>
    <w:p w14:paraId="708DE917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promote the full </w:t>
      </w:r>
      <w:proofErr w:type="spellStart"/>
      <w:r>
        <w:rPr>
          <w:rFonts w:ascii="Calibri" w:hAnsi="Calibri"/>
          <w:color w:val="011993"/>
          <w:kern w:val="2"/>
          <w:sz w:val="22"/>
          <w:szCs w:val="22"/>
          <w:u w:color="935100"/>
        </w:rPr>
        <w:t>realisation</w:t>
      </w:r>
      <w:proofErr w:type="spellEnd"/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 of innate inalienable rights of Living men, women and children, </w:t>
      </w:r>
    </w:p>
    <w:p w14:paraId="0F340820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including the Right to Life and Self-determination via Free Will and Informed Consent.</w:t>
      </w:r>
    </w:p>
    <w:p w14:paraId="5A287556" w14:textId="77777777" w:rsidR="00527363" w:rsidRDefault="00527363">
      <w:pPr>
        <w:pStyle w:val="Body"/>
        <w:tabs>
          <w:tab w:val="left" w:pos="1077"/>
        </w:tabs>
        <w:suppressAutoHyphens/>
        <w:spacing w:line="288" w:lineRule="auto"/>
        <w:rPr>
          <w:rFonts w:ascii="Calibri" w:eastAsia="Calibri" w:hAnsi="Calibri" w:cs="Calibri"/>
          <w:color w:val="011993"/>
          <w:kern w:val="2"/>
          <w:u w:color="000000"/>
        </w:rPr>
      </w:pPr>
    </w:p>
    <w:p w14:paraId="5D2A498B" w14:textId="77777777" w:rsidR="00527363" w:rsidRDefault="00000000" w:rsidP="00CC7D3B">
      <w:pPr>
        <w:pStyle w:val="Body"/>
        <w:keepNext/>
        <w:numPr>
          <w:ilvl w:val="0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lastRenderedPageBreak/>
        <w:t xml:space="preserve">To produce a final report that </w:t>
      </w:r>
      <w:proofErr w:type="spellStart"/>
      <w:r>
        <w:rPr>
          <w:rFonts w:ascii="Calibri" w:hAnsi="Calibri"/>
          <w:color w:val="011993"/>
          <w:kern w:val="2"/>
          <w:sz w:val="22"/>
          <w:szCs w:val="22"/>
          <w:u w:color="935100"/>
        </w:rPr>
        <w:t>summarises</w:t>
      </w:r>
      <w:proofErr w:type="spellEnd"/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 the findings of the Inquiry, including recommendations for restorative action by: </w:t>
      </w:r>
    </w:p>
    <w:p w14:paraId="3A544984" w14:textId="77777777" w:rsidR="00527363" w:rsidRDefault="00000000" w:rsidP="00CC7D3B">
      <w:pPr>
        <w:pStyle w:val="Body"/>
        <w:keepNext/>
        <w:numPr>
          <w:ilvl w:val="1"/>
          <w:numId w:val="3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People, </w:t>
      </w:r>
    </w:p>
    <w:p w14:paraId="4E9515A2" w14:textId="77777777" w:rsidR="00527363" w:rsidRDefault="00000000" w:rsidP="00CC7D3B">
      <w:pPr>
        <w:pStyle w:val="Body"/>
        <w:keepNext/>
        <w:numPr>
          <w:ilvl w:val="1"/>
          <w:numId w:val="3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communities, </w:t>
      </w:r>
    </w:p>
    <w:p w14:paraId="486BC909" w14:textId="77777777" w:rsidR="00527363" w:rsidRDefault="00000000" w:rsidP="00CC7D3B">
      <w:pPr>
        <w:pStyle w:val="Body"/>
        <w:keepNext/>
        <w:numPr>
          <w:ilvl w:val="1"/>
          <w:numId w:val="3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governments, </w:t>
      </w:r>
    </w:p>
    <w:p w14:paraId="6A0C284C" w14:textId="77777777" w:rsidR="00527363" w:rsidRDefault="00000000" w:rsidP="00CC7D3B">
      <w:pPr>
        <w:pStyle w:val="Body"/>
        <w:keepNext/>
        <w:numPr>
          <w:ilvl w:val="1"/>
          <w:numId w:val="3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international </w:t>
      </w:r>
      <w:proofErr w:type="spellStart"/>
      <w:r>
        <w:rPr>
          <w:rFonts w:ascii="Calibri" w:hAnsi="Calibri"/>
          <w:color w:val="011993"/>
          <w:kern w:val="2"/>
          <w:sz w:val="22"/>
          <w:szCs w:val="22"/>
          <w:u w:color="935100"/>
        </w:rPr>
        <w:t>organisations</w:t>
      </w:r>
      <w:proofErr w:type="spellEnd"/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, and </w:t>
      </w:r>
    </w:p>
    <w:p w14:paraId="6F72D721" w14:textId="77777777" w:rsidR="00527363" w:rsidRDefault="00000000" w:rsidP="00762AA2">
      <w:pPr>
        <w:pStyle w:val="Body"/>
        <w:numPr>
          <w:ilvl w:val="1"/>
          <w:numId w:val="3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any other parties.</w:t>
      </w:r>
    </w:p>
    <w:p w14:paraId="23B3FFEE" w14:textId="77777777" w:rsidR="00527363" w:rsidRDefault="00527363">
      <w:pPr>
        <w:pStyle w:val="Body"/>
        <w:tabs>
          <w:tab w:val="left" w:pos="1871"/>
        </w:tabs>
        <w:suppressAutoHyphens/>
        <w:spacing w:line="288" w:lineRule="auto"/>
        <w:rPr>
          <w:rFonts w:ascii="Calibri" w:eastAsia="Calibri" w:hAnsi="Calibri" w:cs="Calibri"/>
          <w:color w:val="011993"/>
          <w:kern w:val="2"/>
          <w:u w:color="000000"/>
        </w:rPr>
      </w:pPr>
    </w:p>
    <w:p w14:paraId="4B6E1983" w14:textId="77777777" w:rsidR="00527363" w:rsidRDefault="00000000">
      <w:pPr>
        <w:pStyle w:val="Body"/>
        <w:numPr>
          <w:ilvl w:val="0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To publish testimony, evidence, interim reports and a final report.</w:t>
      </w:r>
    </w:p>
    <w:p w14:paraId="59D59E70" w14:textId="77777777" w:rsidR="00527363" w:rsidRDefault="00527363">
      <w:pPr>
        <w:pStyle w:val="Body"/>
        <w:tabs>
          <w:tab w:val="left" w:pos="397"/>
        </w:tabs>
        <w:suppressAutoHyphens/>
        <w:spacing w:line="288" w:lineRule="auto"/>
        <w:rPr>
          <w:rFonts w:ascii="Calibri" w:eastAsia="Calibri" w:hAnsi="Calibri" w:cs="Calibri"/>
          <w:color w:val="011993"/>
          <w:kern w:val="2"/>
          <w:u w:color="000000"/>
        </w:rPr>
      </w:pPr>
    </w:p>
    <w:p w14:paraId="732C2572" w14:textId="77777777" w:rsidR="00527363" w:rsidRDefault="00000000">
      <w:pPr>
        <w:pStyle w:val="Body"/>
        <w:numPr>
          <w:ilvl w:val="0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To widely promote testimony, evidence, findings, reports and recommendations through various channels including, but not limited to: </w:t>
      </w:r>
    </w:p>
    <w:p w14:paraId="7FA582CB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public events, </w:t>
      </w:r>
    </w:p>
    <w:p w14:paraId="0B9793AB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media outreach, and </w:t>
      </w:r>
    </w:p>
    <w:p w14:paraId="5108CC94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educational materials.</w:t>
      </w:r>
    </w:p>
    <w:p w14:paraId="599D3237" w14:textId="77777777" w:rsidR="00527363" w:rsidRDefault="00527363">
      <w:pPr>
        <w:pStyle w:val="Body"/>
        <w:tabs>
          <w:tab w:val="left" w:pos="1077"/>
        </w:tabs>
        <w:suppressAutoHyphens/>
        <w:spacing w:line="288" w:lineRule="auto"/>
        <w:rPr>
          <w:rFonts w:ascii="Calibri" w:eastAsia="Calibri" w:hAnsi="Calibri" w:cs="Calibri"/>
          <w:color w:val="011993"/>
          <w:kern w:val="2"/>
          <w:u w:color="000000"/>
        </w:rPr>
      </w:pPr>
    </w:p>
    <w:p w14:paraId="7E9C49C2" w14:textId="77777777" w:rsidR="00527363" w:rsidRDefault="00000000">
      <w:pPr>
        <w:pStyle w:val="Body"/>
        <w:numPr>
          <w:ilvl w:val="0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The</w:t>
      </w:r>
      <w:r>
        <w:rPr>
          <w:rFonts w:ascii="Calibri" w:hAnsi="Calibri"/>
          <w:color w:val="935100"/>
          <w:kern w:val="2"/>
          <w:sz w:val="22"/>
          <w:szCs w:val="22"/>
          <w:u w:color="935100"/>
        </w:rPr>
        <w:t xml:space="preserve"> </w:t>
      </w:r>
      <w:r>
        <w:rPr>
          <w:rFonts w:ascii="Calibri" w:hAnsi="Calibri"/>
          <w:color w:val="C39E12"/>
          <w:kern w:val="2"/>
          <w:sz w:val="22"/>
          <w:szCs w:val="22"/>
          <w:u w:color="929000"/>
        </w:rPr>
        <w:t>International Tribunal of Natural Justice Commission of Inquiry</w:t>
      </w:r>
      <w:r>
        <w:rPr>
          <w:rFonts w:ascii="Calibri" w:hAnsi="Calibri"/>
          <w:color w:val="929000"/>
          <w:kern w:val="2"/>
          <w:sz w:val="22"/>
          <w:szCs w:val="22"/>
          <w:u w:color="929000"/>
        </w:rPr>
        <w:t xml:space="preserve"> </w:t>
      </w: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into the Doctrine of Discovery shall be composed of a diverse group of experts with relevant expertise and experience, including: </w:t>
      </w:r>
    </w:p>
    <w:p w14:paraId="4CC69940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First Nation Peoples, </w:t>
      </w:r>
    </w:p>
    <w:p w14:paraId="79F21D2A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wisdom keepers, </w:t>
      </w:r>
    </w:p>
    <w:p w14:paraId="5855CA32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spiritual leaders,</w:t>
      </w:r>
    </w:p>
    <w:p w14:paraId="6E3AB667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natural law proponents, </w:t>
      </w:r>
    </w:p>
    <w:p w14:paraId="5D74903E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human rights advocates, </w:t>
      </w:r>
    </w:p>
    <w:p w14:paraId="5BCE7A0E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scholars, and</w:t>
      </w:r>
    </w:p>
    <w:p w14:paraId="1B2D5BA1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  <w:lang w:val="pt-PT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  <w:lang w:val="pt-PT"/>
        </w:rPr>
        <w:t xml:space="preserve">historians. </w:t>
      </w:r>
    </w:p>
    <w:p w14:paraId="36210296" w14:textId="77777777" w:rsidR="00527363" w:rsidRDefault="00527363">
      <w:pPr>
        <w:pStyle w:val="Body"/>
        <w:tabs>
          <w:tab w:val="left" w:pos="397"/>
        </w:tabs>
        <w:suppressAutoHyphens/>
        <w:spacing w:line="288" w:lineRule="auto"/>
        <w:rPr>
          <w:rFonts w:ascii="Calibri" w:eastAsia="Calibri" w:hAnsi="Calibri" w:cs="Calibri"/>
          <w:color w:val="011993"/>
          <w:kern w:val="2"/>
          <w:u w:color="000000"/>
        </w:rPr>
      </w:pPr>
    </w:p>
    <w:p w14:paraId="2B6CF8D4" w14:textId="77777777" w:rsidR="00527363" w:rsidRDefault="00000000">
      <w:pPr>
        <w:pStyle w:val="Body"/>
        <w:numPr>
          <w:ilvl w:val="0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The Commission shall hold the power to: </w:t>
      </w:r>
    </w:p>
    <w:p w14:paraId="0E92A9AC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conduct research,</w:t>
      </w:r>
    </w:p>
    <w:p w14:paraId="2B83D7FE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convene public hearings, and </w:t>
      </w:r>
    </w:p>
    <w:p w14:paraId="7C020110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compel, via Lawful Due Process, the production of relevant documents and testimony. </w:t>
      </w:r>
    </w:p>
    <w:p w14:paraId="73EFC230" w14:textId="77777777" w:rsidR="00527363" w:rsidRDefault="00527363">
      <w:pPr>
        <w:pStyle w:val="Body"/>
        <w:tabs>
          <w:tab w:val="left" w:pos="1077"/>
        </w:tabs>
        <w:suppressAutoHyphens/>
        <w:spacing w:line="288" w:lineRule="auto"/>
        <w:rPr>
          <w:rFonts w:ascii="Calibri" w:eastAsia="Calibri" w:hAnsi="Calibri" w:cs="Calibri"/>
          <w:color w:val="011993"/>
          <w:kern w:val="2"/>
          <w:u w:color="000000"/>
        </w:rPr>
      </w:pPr>
    </w:p>
    <w:p w14:paraId="4FF9A38C" w14:textId="77777777" w:rsidR="00527363" w:rsidRDefault="00000000">
      <w:pPr>
        <w:pStyle w:val="Body"/>
        <w:numPr>
          <w:ilvl w:val="0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The Commission shall: </w:t>
      </w:r>
    </w:p>
    <w:p w14:paraId="3704124B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 xml:space="preserve">function fully independent and free from political interference, and </w:t>
      </w:r>
    </w:p>
    <w:p w14:paraId="323E9852" w14:textId="77777777" w:rsidR="00527363" w:rsidRDefault="00000000">
      <w:pPr>
        <w:pStyle w:val="Body"/>
        <w:numPr>
          <w:ilvl w:val="1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shall operate with transparency and accountability in all aspects of its work.</w:t>
      </w:r>
    </w:p>
    <w:p w14:paraId="266649CC" w14:textId="77777777" w:rsidR="00527363" w:rsidRDefault="00527363">
      <w:pPr>
        <w:pStyle w:val="Body"/>
        <w:tabs>
          <w:tab w:val="left" w:pos="1077"/>
        </w:tabs>
        <w:suppressAutoHyphens/>
        <w:spacing w:line="288" w:lineRule="auto"/>
        <w:rPr>
          <w:rFonts w:ascii="Calibri" w:eastAsia="Calibri" w:hAnsi="Calibri" w:cs="Calibri"/>
          <w:color w:val="011993"/>
          <w:kern w:val="2"/>
          <w:u w:color="000000"/>
        </w:rPr>
      </w:pPr>
    </w:p>
    <w:p w14:paraId="3D29DFF1" w14:textId="77777777" w:rsidR="00527363" w:rsidRDefault="00000000">
      <w:pPr>
        <w:pStyle w:val="Body"/>
        <w:numPr>
          <w:ilvl w:val="0"/>
          <w:numId w:val="2"/>
        </w:numPr>
        <w:suppressAutoHyphens/>
        <w:spacing w:line="288" w:lineRule="auto"/>
        <w:rPr>
          <w:rFonts w:ascii="Calibri" w:hAnsi="Calibri"/>
          <w:color w:val="011993"/>
          <w:kern w:val="2"/>
          <w:sz w:val="22"/>
          <w:szCs w:val="22"/>
          <w:u w:color="000000"/>
        </w:rPr>
      </w:pPr>
      <w:r>
        <w:rPr>
          <w:rFonts w:ascii="Calibri" w:hAnsi="Calibri"/>
          <w:color w:val="011993"/>
          <w:kern w:val="2"/>
          <w:sz w:val="22"/>
          <w:szCs w:val="22"/>
          <w:u w:color="935100"/>
        </w:rPr>
        <w:t>This Terms of Reference is to be used as a guide for the Commission of Inquiry into the Doctrine of Discovery and may be expanded as necessary to ensure the most comprehensive and effective investigation possible.</w:t>
      </w:r>
    </w:p>
    <w:sectPr w:rsidR="00527363" w:rsidSect="00CB3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9851" w14:textId="77777777" w:rsidR="00B6774E" w:rsidRDefault="00B6774E">
      <w:r>
        <w:separator/>
      </w:r>
    </w:p>
  </w:endnote>
  <w:endnote w:type="continuationSeparator" w:id="0">
    <w:p w14:paraId="6F3B9B6D" w14:textId="77777777" w:rsidR="00B6774E" w:rsidRDefault="00B6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E995" w14:textId="77777777" w:rsidR="00EF5275" w:rsidRDefault="00EF5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4460" w14:textId="77777777" w:rsidR="00527363" w:rsidRDefault="00000000">
    <w:pPr>
      <w:pStyle w:val="HeaderFooter"/>
      <w:rPr>
        <w:color w:val="2932EE"/>
        <w:u w:color="2932EE"/>
      </w:rPr>
    </w:pPr>
    <w:r>
      <w:t xml:space="preserve">                                                                                  </w:t>
    </w:r>
    <w:r>
      <w:rPr>
        <w:color w:val="2932EE"/>
        <w:u w:color="2932EE"/>
      </w:rPr>
      <w:t xml:space="preserve"> </w:t>
    </w:r>
    <w:r>
      <w:rPr>
        <w:color w:val="2932EE"/>
        <w:u w:color="2932EE"/>
      </w:rPr>
      <w:tab/>
    </w:r>
  </w:p>
  <w:p w14:paraId="38F6FA02" w14:textId="49A6D1F8" w:rsidR="00527363" w:rsidRDefault="00000000" w:rsidP="001B4C02">
    <w:pPr>
      <w:pStyle w:val="HeaderFooter"/>
      <w:jc w:val="right"/>
    </w:pPr>
    <w:r>
      <w:rPr>
        <w:b/>
        <w:bCs/>
        <w:color w:val="011993"/>
        <w:sz w:val="14"/>
        <w:szCs w:val="14"/>
        <w:u w:color="011993"/>
      </w:rPr>
      <w:t xml:space="preserve">Document # 2024-5005-002 </w:t>
    </w:r>
    <w:r w:rsidR="001B4C02">
      <w:rPr>
        <w:b/>
        <w:bCs/>
        <w:color w:val="011993"/>
        <w:sz w:val="14"/>
        <w:szCs w:val="14"/>
        <w:u w:color="011993"/>
      </w:rPr>
      <w:t>20</w:t>
    </w:r>
    <w:r>
      <w:rPr>
        <w:b/>
        <w:bCs/>
        <w:color w:val="011993"/>
        <w:sz w:val="14"/>
        <w:szCs w:val="14"/>
        <w:u w:color="011993"/>
      </w:rPr>
      <w:t xml:space="preserve"> May 2025 </w:t>
    </w:r>
    <w:r>
      <w:rPr>
        <w:b/>
        <w:bCs/>
        <w:color w:val="011993"/>
        <w:sz w:val="14"/>
        <w:szCs w:val="14"/>
      </w:rPr>
      <w:t xml:space="preserve"> v1</w:t>
    </w:r>
    <w:r w:rsidR="00FA5ED7">
      <w:rPr>
        <w:b/>
        <w:bCs/>
        <w:color w:val="011993"/>
        <w:sz w:val="14"/>
        <w:szCs w:val="14"/>
      </w:rPr>
      <w:t>2</w:t>
    </w:r>
    <w:r>
      <w:rPr>
        <w:b/>
        <w:bCs/>
        <w:color w:val="011993"/>
        <w:sz w:val="18"/>
        <w:szCs w:val="18"/>
      </w:rPr>
      <w:t xml:space="preserve"> </w:t>
    </w:r>
    <w:r>
      <w:t xml:space="preserve">   </w:t>
    </w:r>
    <w:r>
      <w:rPr>
        <w:rFonts w:ascii="Calibri" w:hAnsi="Calibri"/>
        <w:color w:val="C39E12"/>
        <w:sz w:val="16"/>
        <w:szCs w:val="16"/>
      </w:rPr>
      <w:t xml:space="preserve">Page </w:t>
    </w:r>
    <w:r>
      <w:rPr>
        <w:rFonts w:ascii="Calibri" w:eastAsia="Calibri" w:hAnsi="Calibri" w:cs="Calibri"/>
        <w:color w:val="C39E12"/>
        <w:sz w:val="16"/>
        <w:szCs w:val="16"/>
      </w:rPr>
      <w:fldChar w:fldCharType="begin"/>
    </w:r>
    <w:r>
      <w:rPr>
        <w:rFonts w:ascii="Calibri" w:eastAsia="Calibri" w:hAnsi="Calibri" w:cs="Calibri"/>
        <w:color w:val="C39E12"/>
        <w:sz w:val="16"/>
        <w:szCs w:val="16"/>
      </w:rPr>
      <w:instrText xml:space="preserve"> PAGE </w:instrText>
    </w:r>
    <w:r>
      <w:rPr>
        <w:rFonts w:ascii="Calibri" w:eastAsia="Calibri" w:hAnsi="Calibri" w:cs="Calibri"/>
        <w:color w:val="C39E12"/>
        <w:sz w:val="16"/>
        <w:szCs w:val="16"/>
      </w:rPr>
      <w:fldChar w:fldCharType="separate"/>
    </w:r>
    <w:r w:rsidR="00762AA2">
      <w:rPr>
        <w:rFonts w:ascii="Calibri" w:eastAsia="Calibri" w:hAnsi="Calibri" w:cs="Calibri"/>
        <w:noProof/>
        <w:color w:val="C39E12"/>
        <w:sz w:val="16"/>
        <w:szCs w:val="16"/>
      </w:rPr>
      <w:t>1</w:t>
    </w:r>
    <w:r>
      <w:rPr>
        <w:rFonts w:ascii="Calibri" w:eastAsia="Calibri" w:hAnsi="Calibri" w:cs="Calibri"/>
        <w:color w:val="C39E12"/>
        <w:sz w:val="16"/>
        <w:szCs w:val="16"/>
      </w:rPr>
      <w:fldChar w:fldCharType="end"/>
    </w:r>
    <w:r>
      <w:rPr>
        <w:rFonts w:ascii="Calibri" w:hAnsi="Calibri"/>
        <w:color w:val="C39E12"/>
        <w:sz w:val="16"/>
        <w:szCs w:val="16"/>
      </w:rPr>
      <w:t>/</w:t>
    </w:r>
    <w:r>
      <w:rPr>
        <w:rFonts w:ascii="Calibri" w:eastAsia="Calibri" w:hAnsi="Calibri" w:cs="Calibri"/>
        <w:color w:val="C39E12"/>
        <w:sz w:val="16"/>
        <w:szCs w:val="16"/>
      </w:rPr>
      <w:fldChar w:fldCharType="begin"/>
    </w:r>
    <w:r>
      <w:rPr>
        <w:rFonts w:ascii="Calibri" w:eastAsia="Calibri" w:hAnsi="Calibri" w:cs="Calibri"/>
        <w:color w:val="C39E12"/>
        <w:sz w:val="16"/>
        <w:szCs w:val="16"/>
      </w:rPr>
      <w:instrText xml:space="preserve"> NUMPAGES </w:instrText>
    </w:r>
    <w:r>
      <w:rPr>
        <w:rFonts w:ascii="Calibri" w:eastAsia="Calibri" w:hAnsi="Calibri" w:cs="Calibri"/>
        <w:color w:val="C39E12"/>
        <w:sz w:val="16"/>
        <w:szCs w:val="16"/>
      </w:rPr>
      <w:fldChar w:fldCharType="separate"/>
    </w:r>
    <w:r w:rsidR="00762AA2">
      <w:rPr>
        <w:rFonts w:ascii="Calibri" w:eastAsia="Calibri" w:hAnsi="Calibri" w:cs="Calibri"/>
        <w:noProof/>
        <w:color w:val="C39E12"/>
        <w:sz w:val="16"/>
        <w:szCs w:val="16"/>
      </w:rPr>
      <w:t>2</w:t>
    </w:r>
    <w:r>
      <w:rPr>
        <w:rFonts w:ascii="Calibri" w:eastAsia="Calibri" w:hAnsi="Calibri" w:cs="Calibri"/>
        <w:color w:val="C39E12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0598" w14:textId="77777777" w:rsidR="008B7E89" w:rsidRDefault="008B7E89" w:rsidP="00CB30C7">
    <w:pPr>
      <w:pStyle w:val="HeaderFooter"/>
      <w:jc w:val="right"/>
    </w:pPr>
    <w:r>
      <w:rPr>
        <w:noProof/>
        <w:color w:val="2932EE"/>
        <w:u w:color="2932EE"/>
      </w:rPr>
      <w:drawing>
        <wp:anchor distT="0" distB="0" distL="114300" distR="114300" simplePos="0" relativeHeight="251658240" behindDoc="1" locked="0" layoutInCell="1" allowOverlap="1" wp14:anchorId="7E130B69" wp14:editId="259D1EA5">
          <wp:simplePos x="0" y="0"/>
          <wp:positionH relativeFrom="page">
            <wp:posOffset>0</wp:posOffset>
          </wp:positionH>
          <wp:positionV relativeFrom="page">
            <wp:posOffset>9362702</wp:posOffset>
          </wp:positionV>
          <wp:extent cx="7552640" cy="115765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40" cy="115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AA2">
      <w:tab/>
    </w:r>
  </w:p>
  <w:p w14:paraId="063DD637" w14:textId="77777777" w:rsidR="008B7E89" w:rsidRDefault="008B7E89" w:rsidP="00CB30C7">
    <w:pPr>
      <w:pStyle w:val="HeaderFooter"/>
      <w:jc w:val="right"/>
      <w:rPr>
        <w:b/>
        <w:bCs/>
        <w:color w:val="011993"/>
        <w:sz w:val="14"/>
        <w:szCs w:val="14"/>
        <w:u w:color="011993"/>
      </w:rPr>
    </w:pPr>
  </w:p>
  <w:p w14:paraId="2C4E5A47" w14:textId="7EADC435" w:rsidR="00CB30C7" w:rsidRDefault="00CB30C7" w:rsidP="00CB30C7">
    <w:pPr>
      <w:pStyle w:val="HeaderFooter"/>
      <w:jc w:val="right"/>
      <w:rPr>
        <w:rFonts w:ascii="Calibri" w:eastAsia="Calibri" w:hAnsi="Calibri" w:cs="Calibri"/>
        <w:color w:val="C39E12"/>
        <w:sz w:val="16"/>
        <w:szCs w:val="16"/>
      </w:rPr>
    </w:pPr>
    <w:r>
      <w:rPr>
        <w:b/>
        <w:bCs/>
        <w:color w:val="011993"/>
        <w:sz w:val="14"/>
        <w:szCs w:val="14"/>
        <w:u w:color="011993"/>
      </w:rPr>
      <w:t xml:space="preserve">Document # 2024-5005-002 20 May 2025 </w:t>
    </w:r>
    <w:r>
      <w:rPr>
        <w:b/>
        <w:bCs/>
        <w:color w:val="011993"/>
        <w:sz w:val="14"/>
        <w:szCs w:val="14"/>
      </w:rPr>
      <w:t xml:space="preserve"> v1</w:t>
    </w:r>
    <w:r w:rsidR="00EF5275">
      <w:rPr>
        <w:b/>
        <w:bCs/>
        <w:color w:val="011993"/>
        <w:sz w:val="14"/>
        <w:szCs w:val="14"/>
      </w:rPr>
      <w:t>3</w:t>
    </w:r>
    <w:r>
      <w:rPr>
        <w:b/>
        <w:bCs/>
        <w:color w:val="011993"/>
        <w:sz w:val="18"/>
        <w:szCs w:val="18"/>
      </w:rPr>
      <w:t xml:space="preserve"> </w:t>
    </w:r>
    <w:r>
      <w:t xml:space="preserve">   </w:t>
    </w:r>
    <w:r>
      <w:rPr>
        <w:rFonts w:ascii="Calibri" w:hAnsi="Calibri"/>
        <w:color w:val="C39E12"/>
        <w:sz w:val="16"/>
        <w:szCs w:val="16"/>
      </w:rPr>
      <w:t xml:space="preserve">Page </w:t>
    </w:r>
    <w:r>
      <w:rPr>
        <w:rFonts w:ascii="Calibri" w:eastAsia="Calibri" w:hAnsi="Calibri" w:cs="Calibri"/>
        <w:color w:val="C39E12"/>
        <w:sz w:val="16"/>
        <w:szCs w:val="16"/>
      </w:rPr>
      <w:fldChar w:fldCharType="begin"/>
    </w:r>
    <w:r>
      <w:rPr>
        <w:rFonts w:ascii="Calibri" w:eastAsia="Calibri" w:hAnsi="Calibri" w:cs="Calibri"/>
        <w:color w:val="C39E12"/>
        <w:sz w:val="16"/>
        <w:szCs w:val="16"/>
      </w:rPr>
      <w:instrText xml:space="preserve"> PAGE </w:instrText>
    </w:r>
    <w:r>
      <w:rPr>
        <w:rFonts w:ascii="Calibri" w:eastAsia="Calibri" w:hAnsi="Calibri" w:cs="Calibri"/>
        <w:color w:val="C39E12"/>
        <w:sz w:val="16"/>
        <w:szCs w:val="16"/>
      </w:rPr>
      <w:fldChar w:fldCharType="separate"/>
    </w:r>
    <w:r>
      <w:rPr>
        <w:rFonts w:ascii="Calibri" w:eastAsia="Calibri" w:hAnsi="Calibri" w:cs="Calibri"/>
        <w:color w:val="C39E12"/>
        <w:sz w:val="16"/>
        <w:szCs w:val="16"/>
      </w:rPr>
      <w:t>2</w:t>
    </w:r>
    <w:r>
      <w:rPr>
        <w:rFonts w:ascii="Calibri" w:eastAsia="Calibri" w:hAnsi="Calibri" w:cs="Calibri"/>
        <w:color w:val="C39E12"/>
        <w:sz w:val="16"/>
        <w:szCs w:val="16"/>
      </w:rPr>
      <w:fldChar w:fldCharType="end"/>
    </w:r>
    <w:r>
      <w:rPr>
        <w:rFonts w:ascii="Calibri" w:hAnsi="Calibri"/>
        <w:color w:val="C39E12"/>
        <w:sz w:val="16"/>
        <w:szCs w:val="16"/>
      </w:rPr>
      <w:t>/</w:t>
    </w:r>
    <w:r>
      <w:rPr>
        <w:rFonts w:ascii="Calibri" w:eastAsia="Calibri" w:hAnsi="Calibri" w:cs="Calibri"/>
        <w:color w:val="C39E12"/>
        <w:sz w:val="16"/>
        <w:szCs w:val="16"/>
      </w:rPr>
      <w:fldChar w:fldCharType="begin"/>
    </w:r>
    <w:r>
      <w:rPr>
        <w:rFonts w:ascii="Calibri" w:eastAsia="Calibri" w:hAnsi="Calibri" w:cs="Calibri"/>
        <w:color w:val="C39E12"/>
        <w:sz w:val="16"/>
        <w:szCs w:val="16"/>
      </w:rPr>
      <w:instrText xml:space="preserve"> NUMPAGES </w:instrText>
    </w:r>
    <w:r>
      <w:rPr>
        <w:rFonts w:ascii="Calibri" w:eastAsia="Calibri" w:hAnsi="Calibri" w:cs="Calibri"/>
        <w:color w:val="C39E12"/>
        <w:sz w:val="16"/>
        <w:szCs w:val="16"/>
      </w:rPr>
      <w:fldChar w:fldCharType="separate"/>
    </w:r>
    <w:r>
      <w:rPr>
        <w:rFonts w:ascii="Calibri" w:eastAsia="Calibri" w:hAnsi="Calibri" w:cs="Calibri"/>
        <w:color w:val="C39E12"/>
        <w:sz w:val="16"/>
        <w:szCs w:val="16"/>
      </w:rPr>
      <w:t>3</w:t>
    </w:r>
    <w:r>
      <w:rPr>
        <w:rFonts w:ascii="Calibri" w:eastAsia="Calibri" w:hAnsi="Calibri" w:cs="Calibri"/>
        <w:color w:val="C39E12"/>
        <w:sz w:val="16"/>
        <w:szCs w:val="16"/>
      </w:rPr>
      <w:fldChar w:fldCharType="end"/>
    </w:r>
  </w:p>
  <w:p w14:paraId="7206A347" w14:textId="77777777" w:rsidR="00EF5275" w:rsidRDefault="00EF5275" w:rsidP="00CB30C7">
    <w:pPr>
      <w:pStyle w:val="HeaderFooter"/>
      <w:jc w:val="right"/>
      <w:rPr>
        <w:rFonts w:ascii="Calibri" w:eastAsia="Calibri" w:hAnsi="Calibri" w:cs="Calibri"/>
        <w:color w:val="C39E12"/>
        <w:sz w:val="16"/>
        <w:szCs w:val="16"/>
      </w:rPr>
    </w:pPr>
  </w:p>
  <w:p w14:paraId="03F4CAF8" w14:textId="29B537E0" w:rsidR="00CB30C7" w:rsidRDefault="00CB30C7" w:rsidP="008B7E89">
    <w:pPr>
      <w:pStyle w:val="HeaderFooter"/>
      <w:tabs>
        <w:tab w:val="left" w:pos="5776"/>
      </w:tabs>
      <w:rPr>
        <w:rFonts w:ascii="Calibri" w:eastAsia="Calibri" w:hAnsi="Calibri" w:cs="Calibri"/>
        <w:color w:val="C39E12"/>
        <w:sz w:val="16"/>
        <w:szCs w:val="16"/>
      </w:rPr>
    </w:pPr>
  </w:p>
  <w:p w14:paraId="701196CD" w14:textId="77777777" w:rsidR="00CB30C7" w:rsidRDefault="00CB30C7" w:rsidP="00CB30C7">
    <w:pPr>
      <w:pStyle w:val="HeaderFooter"/>
      <w:jc w:val="right"/>
      <w:rPr>
        <w:rFonts w:ascii="Calibri" w:eastAsia="Calibri" w:hAnsi="Calibri" w:cs="Calibri"/>
        <w:color w:val="C39E12"/>
        <w:sz w:val="16"/>
        <w:szCs w:val="16"/>
      </w:rPr>
    </w:pPr>
  </w:p>
  <w:p w14:paraId="56F469E9" w14:textId="77777777" w:rsidR="00CB30C7" w:rsidRDefault="00CB30C7" w:rsidP="00CB30C7">
    <w:pPr>
      <w:pStyle w:val="HeaderFooter"/>
      <w:jc w:val="right"/>
    </w:pPr>
  </w:p>
  <w:p w14:paraId="75368F19" w14:textId="73D4996D" w:rsidR="00762AA2" w:rsidRDefault="00762AA2" w:rsidP="00762AA2">
    <w:pPr>
      <w:pStyle w:val="Footer"/>
      <w:tabs>
        <w:tab w:val="clear" w:pos="4513"/>
        <w:tab w:val="clear" w:pos="9026"/>
        <w:tab w:val="left" w:pos="310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9395" w14:textId="77777777" w:rsidR="00B6774E" w:rsidRDefault="00B6774E">
      <w:r>
        <w:separator/>
      </w:r>
    </w:p>
  </w:footnote>
  <w:footnote w:type="continuationSeparator" w:id="0">
    <w:p w14:paraId="0B937318" w14:textId="77777777" w:rsidR="00B6774E" w:rsidRDefault="00B6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B8E3" w14:textId="77777777" w:rsidR="00EF5275" w:rsidRDefault="00EF5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B27B" w14:textId="77777777" w:rsidR="00527363" w:rsidRDefault="00000000">
    <w:pPr>
      <w:pStyle w:val="HeaderFooter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t xml:space="preserve">       </w:t>
    </w:r>
    <w:r>
      <w:rPr>
        <w:noProof/>
      </w:rPr>
      <w:drawing>
        <wp:inline distT="0" distB="0" distL="0" distR="0" wp14:anchorId="61212A5B" wp14:editId="44FD4180">
          <wp:extent cx="1813560" cy="907989"/>
          <wp:effectExtent l="0" t="0" r="0" b="6985"/>
          <wp:docPr id="4" name="officeArt object" descr="** PHOTO-2024-11-05-08-59-4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** PHOTO-2024-11-05-08-59-43.jpg" descr="** PHOTO-2024-11-05-08-59-4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5098" cy="9187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</w:t>
    </w:r>
  </w:p>
  <w:p w14:paraId="1F41E75C" w14:textId="77777777" w:rsidR="00527363" w:rsidRDefault="00000000">
    <w:pPr>
      <w:pStyle w:val="HeaderFooter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FF9B" w14:textId="132D6815" w:rsidR="00762AA2" w:rsidRPr="00762AA2" w:rsidRDefault="00762AA2" w:rsidP="00762AA2">
    <w:pPr>
      <w:pStyle w:val="Header"/>
      <w:jc w:val="center"/>
    </w:pPr>
    <w:r>
      <w:rPr>
        <w:noProof/>
      </w:rPr>
      <w:drawing>
        <wp:inline distT="0" distB="0" distL="0" distR="0" wp14:anchorId="4FFE9B1C" wp14:editId="71601902">
          <wp:extent cx="2834640" cy="1419210"/>
          <wp:effectExtent l="0" t="0" r="3810" b="0"/>
          <wp:docPr id="5" name="officeArt object" descr="** PHOTO-2024-11-05-08-59-4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** PHOTO-2024-11-05-08-59-43.jpg" descr="** PHOTO-2024-11-05-08-59-4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4892" cy="14293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049F4"/>
    <w:multiLevelType w:val="multilevel"/>
    <w:tmpl w:val="089C9F06"/>
    <w:numStyleLink w:val="ImportedStyle1"/>
  </w:abstractNum>
  <w:abstractNum w:abstractNumId="1" w15:restartNumberingAfterBreak="0">
    <w:nsid w:val="6CCF0FC6"/>
    <w:multiLevelType w:val="multilevel"/>
    <w:tmpl w:val="089C9F06"/>
    <w:styleLink w:val="ImportedStyle1"/>
    <w:lvl w:ilvl="0">
      <w:start w:val="1"/>
      <w:numFmt w:val="decimal"/>
      <w:lvlText w:val="%1."/>
      <w:lvlJc w:val="left"/>
      <w:pPr>
        <w:ind w:left="433" w:hanging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2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933" w:hanging="7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871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871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871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871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871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871"/>
        </w:tabs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 w16cid:durableId="798836242">
    <w:abstractNumId w:val="1"/>
  </w:num>
  <w:num w:numId="2" w16cid:durableId="130484453">
    <w:abstractNumId w:val="0"/>
  </w:num>
  <w:num w:numId="3" w16cid:durableId="758792578">
    <w:abstractNumId w:val="0"/>
    <w:lvlOverride w:ilvl="0">
      <w:lvl w:ilvl="0">
        <w:start w:val="1"/>
        <w:numFmt w:val="decimal"/>
        <w:lvlText w:val="%1."/>
        <w:lvlJc w:val="left"/>
        <w:pPr>
          <w:ind w:left="433" w:hanging="4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33" w:hanging="7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71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871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71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871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71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871"/>
          </w:tabs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63"/>
    <w:rsid w:val="00086037"/>
    <w:rsid w:val="0017400A"/>
    <w:rsid w:val="001B4C02"/>
    <w:rsid w:val="0024296E"/>
    <w:rsid w:val="003B4A51"/>
    <w:rsid w:val="00495434"/>
    <w:rsid w:val="00527363"/>
    <w:rsid w:val="00527BDF"/>
    <w:rsid w:val="00762AA2"/>
    <w:rsid w:val="007F16BB"/>
    <w:rsid w:val="00843DC6"/>
    <w:rsid w:val="008B7E89"/>
    <w:rsid w:val="008F7FE2"/>
    <w:rsid w:val="00981C6C"/>
    <w:rsid w:val="009B160A"/>
    <w:rsid w:val="00A1776B"/>
    <w:rsid w:val="00B6774E"/>
    <w:rsid w:val="00BC7E93"/>
    <w:rsid w:val="00CB30C7"/>
    <w:rsid w:val="00CC7D3B"/>
    <w:rsid w:val="00D30F9A"/>
    <w:rsid w:val="00E15D32"/>
    <w:rsid w:val="00E87630"/>
    <w:rsid w:val="00EF5275"/>
    <w:rsid w:val="00FA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0C86C"/>
  <w15:docId w15:val="{E67F3D35-8D89-4D12-9B78-2D8ED6BE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Helvetica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62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AA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62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AA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B309-28E2-40CE-8E9D-1C5ECB93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570</Words>
  <Characters>3460</Characters>
  <Application>Microsoft Office Word</Application>
  <DocSecurity>0</DocSecurity>
  <Lines>72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5</cp:revision>
  <dcterms:created xsi:type="dcterms:W3CDTF">2025-08-15T22:53:00Z</dcterms:created>
  <dcterms:modified xsi:type="dcterms:W3CDTF">2025-09-11T01:43:00Z</dcterms:modified>
</cp:coreProperties>
</file>